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702" w:rsidRDefault="00B87702" w:rsidP="00B87702">
      <w:pPr>
        <w:jc w:val="center"/>
        <w:rPr>
          <w:rFonts w:ascii="Arial" w:hAnsi="Arial" w:cs="Arial"/>
          <w:b/>
          <w:sz w:val="24"/>
          <w:u w:val="single"/>
        </w:rPr>
      </w:pPr>
      <w:bookmarkStart w:id="0" w:name="_GoBack"/>
      <w:r>
        <w:rPr>
          <w:rFonts w:ascii="Arial" w:hAnsi="Arial" w:cs="Arial"/>
          <w:b/>
          <w:sz w:val="24"/>
          <w:u w:val="single"/>
        </w:rPr>
        <w:t>American Public Power Association</w:t>
      </w:r>
    </w:p>
    <w:bookmarkEnd w:id="0"/>
    <w:p w:rsidR="00B87702" w:rsidRDefault="00D108A5" w:rsidP="00B87702">
      <w:pPr>
        <w:spacing w:after="0" w:line="480" w:lineRule="auto"/>
        <w:ind w:left="1440" w:right="1440"/>
        <w:rPr>
          <w:rFonts w:ascii="Arial" w:hAnsi="Arial" w:cs="Arial"/>
          <w:sz w:val="24"/>
        </w:rPr>
      </w:pPr>
      <w:r>
        <w:rPr>
          <w:rFonts w:ascii="Arial" w:hAnsi="Arial" w:cs="Arial"/>
          <w:sz w:val="24"/>
        </w:rPr>
        <w:t>The American Public Power Association (APPA) is the service organization for more than 2,000 U.S. community-owned electric utilities that serve more than 46 million Americans</w:t>
      </w:r>
      <w:r w:rsidR="00AD29A4">
        <w:rPr>
          <w:rFonts w:ascii="Arial" w:hAnsi="Arial" w:cs="Arial"/>
          <w:sz w:val="24"/>
        </w:rPr>
        <w:t xml:space="preserve"> </w:t>
      </w:r>
      <w:sdt>
        <w:sdtPr>
          <w:rPr>
            <w:rFonts w:ascii="Arial" w:hAnsi="Arial" w:cs="Arial"/>
            <w:sz w:val="24"/>
          </w:rPr>
          <w:id w:val="72548285"/>
          <w:citation/>
        </w:sdtPr>
        <w:sdtEndPr/>
        <w:sdtContent>
          <w:r w:rsidR="00AD29A4">
            <w:rPr>
              <w:rFonts w:ascii="Arial" w:hAnsi="Arial" w:cs="Arial"/>
              <w:sz w:val="24"/>
            </w:rPr>
            <w:fldChar w:fldCharType="begin"/>
          </w:r>
          <w:r w:rsidR="00AD29A4">
            <w:rPr>
              <w:rFonts w:ascii="Arial" w:hAnsi="Arial" w:cs="Arial"/>
              <w:sz w:val="24"/>
            </w:rPr>
            <w:instrText xml:space="preserve"> CITATION Unk121 \l 1033 </w:instrText>
          </w:r>
          <w:r w:rsidR="00AD29A4">
            <w:rPr>
              <w:rFonts w:ascii="Arial" w:hAnsi="Arial" w:cs="Arial"/>
              <w:sz w:val="24"/>
            </w:rPr>
            <w:fldChar w:fldCharType="separate"/>
          </w:r>
          <w:r w:rsidR="00AD29A4" w:rsidRPr="00AD29A4">
            <w:rPr>
              <w:rFonts w:ascii="Arial" w:hAnsi="Arial" w:cs="Arial"/>
              <w:noProof/>
              <w:sz w:val="24"/>
            </w:rPr>
            <w:t>(Unkown, 2012)</w:t>
          </w:r>
          <w:r w:rsidR="00AD29A4">
            <w:rPr>
              <w:rFonts w:ascii="Arial" w:hAnsi="Arial" w:cs="Arial"/>
              <w:sz w:val="24"/>
            </w:rPr>
            <w:fldChar w:fldCharType="end"/>
          </w:r>
        </w:sdtContent>
      </w:sdt>
      <w:r>
        <w:rPr>
          <w:rFonts w:ascii="Arial" w:hAnsi="Arial" w:cs="Arial"/>
          <w:sz w:val="24"/>
        </w:rPr>
        <w:t xml:space="preserve">. APPA was created in September 1940 to represent </w:t>
      </w:r>
      <w:r w:rsidR="008964FC">
        <w:rPr>
          <w:rFonts w:ascii="Arial" w:hAnsi="Arial" w:cs="Arial"/>
          <w:sz w:val="24"/>
        </w:rPr>
        <w:t xml:space="preserve">the common interest of these utilities today. Today APPA’s </w:t>
      </w:r>
      <w:r w:rsidR="00C42F2B">
        <w:rPr>
          <w:rFonts w:ascii="Arial" w:hAnsi="Arial" w:cs="Arial"/>
          <w:sz w:val="24"/>
        </w:rPr>
        <w:t>purpose</w:t>
      </w:r>
      <w:r w:rsidR="008964FC">
        <w:rPr>
          <w:rFonts w:ascii="Arial" w:hAnsi="Arial" w:cs="Arial"/>
          <w:sz w:val="24"/>
        </w:rPr>
        <w:t xml:space="preserve"> is to advanced the public policy interest of its members</w:t>
      </w:r>
      <w:r w:rsidR="000F5A06">
        <w:rPr>
          <w:rFonts w:ascii="Arial" w:hAnsi="Arial" w:cs="Arial"/>
          <w:sz w:val="24"/>
        </w:rPr>
        <w:t xml:space="preserve">, and </w:t>
      </w:r>
      <w:r w:rsidR="008964FC">
        <w:rPr>
          <w:rFonts w:ascii="Arial" w:hAnsi="Arial" w:cs="Arial"/>
          <w:sz w:val="24"/>
        </w:rPr>
        <w:t>consume</w:t>
      </w:r>
      <w:r w:rsidR="000F5A06">
        <w:rPr>
          <w:rFonts w:ascii="Arial" w:hAnsi="Arial" w:cs="Arial"/>
          <w:sz w:val="24"/>
        </w:rPr>
        <w:t xml:space="preserve">rs but is to </w:t>
      </w:r>
      <w:r w:rsidR="008964FC">
        <w:rPr>
          <w:rFonts w:ascii="Arial" w:hAnsi="Arial" w:cs="Arial"/>
          <w:sz w:val="24"/>
        </w:rPr>
        <w:t>provide member services to ensure adequate, reliable electricity at a reasonable price with the proper protection of the environment</w:t>
      </w:r>
      <w:r w:rsidR="00AD29A4">
        <w:rPr>
          <w:rFonts w:ascii="Arial" w:hAnsi="Arial" w:cs="Arial"/>
          <w:sz w:val="24"/>
        </w:rPr>
        <w:t xml:space="preserve"> </w:t>
      </w:r>
      <w:sdt>
        <w:sdtPr>
          <w:rPr>
            <w:rFonts w:ascii="Arial" w:hAnsi="Arial" w:cs="Arial"/>
            <w:sz w:val="24"/>
          </w:rPr>
          <w:id w:val="72548287"/>
          <w:citation/>
        </w:sdtPr>
        <w:sdtEndPr/>
        <w:sdtContent>
          <w:r w:rsidR="00AD29A4">
            <w:rPr>
              <w:rFonts w:ascii="Arial" w:hAnsi="Arial" w:cs="Arial"/>
              <w:sz w:val="24"/>
            </w:rPr>
            <w:fldChar w:fldCharType="begin"/>
          </w:r>
          <w:r w:rsidR="00AD29A4">
            <w:rPr>
              <w:rFonts w:ascii="Arial" w:hAnsi="Arial" w:cs="Arial"/>
              <w:sz w:val="24"/>
            </w:rPr>
            <w:instrText xml:space="preserve"> CITATION Unk121 \l 1033 </w:instrText>
          </w:r>
          <w:r w:rsidR="00AD29A4">
            <w:rPr>
              <w:rFonts w:ascii="Arial" w:hAnsi="Arial" w:cs="Arial"/>
              <w:sz w:val="24"/>
            </w:rPr>
            <w:fldChar w:fldCharType="separate"/>
          </w:r>
          <w:r w:rsidR="00AD29A4" w:rsidRPr="00AD29A4">
            <w:rPr>
              <w:rFonts w:ascii="Arial" w:hAnsi="Arial" w:cs="Arial"/>
              <w:noProof/>
              <w:sz w:val="24"/>
            </w:rPr>
            <w:t>(Unkown, 2012)</w:t>
          </w:r>
          <w:r w:rsidR="00AD29A4">
            <w:rPr>
              <w:rFonts w:ascii="Arial" w:hAnsi="Arial" w:cs="Arial"/>
              <w:sz w:val="24"/>
            </w:rPr>
            <w:fldChar w:fldCharType="end"/>
          </w:r>
        </w:sdtContent>
      </w:sdt>
      <w:r w:rsidR="008964FC">
        <w:rPr>
          <w:rFonts w:ascii="Arial" w:hAnsi="Arial" w:cs="Arial"/>
          <w:sz w:val="24"/>
        </w:rPr>
        <w:t xml:space="preserve">. </w:t>
      </w:r>
      <w:r w:rsidR="000F5A06">
        <w:rPr>
          <w:rFonts w:ascii="Arial" w:hAnsi="Arial" w:cs="Arial"/>
          <w:sz w:val="24"/>
        </w:rPr>
        <w:t xml:space="preserve">Membership is open to U.S. public powers utilities, joint action agencies, rural electric cooperatives, Canadian </w:t>
      </w:r>
      <w:r w:rsidR="001D1EE1">
        <w:rPr>
          <w:rFonts w:ascii="Arial" w:hAnsi="Arial" w:cs="Arial"/>
          <w:sz w:val="24"/>
        </w:rPr>
        <w:t>municipal</w:t>
      </w:r>
      <w:r w:rsidR="000F5A06">
        <w:rPr>
          <w:rFonts w:ascii="Arial" w:hAnsi="Arial" w:cs="Arial"/>
          <w:sz w:val="24"/>
        </w:rPr>
        <w:t>/provincial utilities, public power systems within the U.S. territories and possessions, and state, regional, and local associations in the United States and Canada that serve a purpose similar to the APPA.</w:t>
      </w:r>
      <w:r w:rsidR="007C0A7A">
        <w:rPr>
          <w:rFonts w:ascii="Arial" w:hAnsi="Arial" w:cs="Arial"/>
          <w:sz w:val="24"/>
        </w:rPr>
        <w:t xml:space="preserve"> Some memberships include: Los Angeles Department of Water and Power, Long Island Power Authority, Salt River Project in Arizona, Sacramento Municipal Utility District, JEA in Florida and </w:t>
      </w:r>
      <w:r w:rsidR="00C42F2B">
        <w:rPr>
          <w:rFonts w:ascii="Arial" w:hAnsi="Arial" w:cs="Arial"/>
          <w:sz w:val="24"/>
        </w:rPr>
        <w:t>Seattle City Light</w:t>
      </w:r>
      <w:r w:rsidR="00AD29A4">
        <w:rPr>
          <w:rFonts w:ascii="Arial" w:hAnsi="Arial" w:cs="Arial"/>
          <w:sz w:val="24"/>
        </w:rPr>
        <w:t xml:space="preserve"> </w:t>
      </w:r>
      <w:sdt>
        <w:sdtPr>
          <w:rPr>
            <w:rFonts w:ascii="Arial" w:hAnsi="Arial" w:cs="Arial"/>
            <w:sz w:val="24"/>
          </w:rPr>
          <w:id w:val="72548286"/>
          <w:citation/>
        </w:sdtPr>
        <w:sdtEndPr/>
        <w:sdtContent>
          <w:r w:rsidR="00AD29A4">
            <w:rPr>
              <w:rFonts w:ascii="Arial" w:hAnsi="Arial" w:cs="Arial"/>
              <w:sz w:val="24"/>
            </w:rPr>
            <w:fldChar w:fldCharType="begin"/>
          </w:r>
          <w:r w:rsidR="00AD29A4">
            <w:rPr>
              <w:rFonts w:ascii="Arial" w:hAnsi="Arial" w:cs="Arial"/>
              <w:sz w:val="24"/>
            </w:rPr>
            <w:instrText xml:space="preserve"> CITATION Unk121 \l 1033 </w:instrText>
          </w:r>
          <w:r w:rsidR="00AD29A4">
            <w:rPr>
              <w:rFonts w:ascii="Arial" w:hAnsi="Arial" w:cs="Arial"/>
              <w:sz w:val="24"/>
            </w:rPr>
            <w:fldChar w:fldCharType="separate"/>
          </w:r>
          <w:r w:rsidR="00AD29A4" w:rsidRPr="00AD29A4">
            <w:rPr>
              <w:rFonts w:ascii="Arial" w:hAnsi="Arial" w:cs="Arial"/>
              <w:noProof/>
              <w:sz w:val="24"/>
            </w:rPr>
            <w:t>(Unkown, 2012)</w:t>
          </w:r>
          <w:r w:rsidR="00AD29A4">
            <w:rPr>
              <w:rFonts w:ascii="Arial" w:hAnsi="Arial" w:cs="Arial"/>
              <w:sz w:val="24"/>
            </w:rPr>
            <w:fldChar w:fldCharType="end"/>
          </w:r>
        </w:sdtContent>
      </w:sdt>
      <w:r w:rsidR="00C42F2B">
        <w:rPr>
          <w:rFonts w:ascii="Arial" w:hAnsi="Arial" w:cs="Arial"/>
          <w:sz w:val="24"/>
        </w:rPr>
        <w:t>.</w:t>
      </w:r>
    </w:p>
    <w:p w:rsidR="00AD29A4" w:rsidRDefault="00A05FCC" w:rsidP="006A4051">
      <w:pPr>
        <w:spacing w:after="0" w:line="480" w:lineRule="auto"/>
        <w:ind w:left="1440" w:right="1440"/>
        <w:rPr>
          <w:rFonts w:ascii="Arial" w:hAnsi="Arial" w:cs="Arial"/>
          <w:sz w:val="24"/>
        </w:rPr>
      </w:pPr>
      <w:r>
        <w:rPr>
          <w:rFonts w:ascii="Arial" w:hAnsi="Arial" w:cs="Arial"/>
          <w:sz w:val="24"/>
        </w:rPr>
        <w:tab/>
      </w:r>
      <w:r w:rsidR="00230F89">
        <w:rPr>
          <w:rFonts w:ascii="Arial" w:hAnsi="Arial" w:cs="Arial"/>
          <w:sz w:val="24"/>
        </w:rPr>
        <w:t xml:space="preserve">APPA is the national advocate for public power in Washington D.C., on Legislative and Regulatory issues, and legal proceedings. APPA lobbies public power positions, and </w:t>
      </w:r>
      <w:r w:rsidR="00230F89">
        <w:rPr>
          <w:rFonts w:ascii="Arial" w:hAnsi="Arial" w:cs="Arial"/>
          <w:sz w:val="24"/>
        </w:rPr>
        <w:lastRenderedPageBreak/>
        <w:t>monitors and reports on federal events and activities. APPA’s legislative and resolution committee gives all utility members an opportunity to develop consensus on issues, as do task force, committees, and workgroups. The annual Legislative Rally brings managers and policy makers together in Washington D.C. to tell the story of public power.</w:t>
      </w:r>
      <w:r w:rsidR="0081269C">
        <w:rPr>
          <w:rFonts w:ascii="Arial" w:hAnsi="Arial" w:cs="Arial"/>
          <w:sz w:val="24"/>
        </w:rPr>
        <w:t xml:space="preserve"> APPA offers many opportunities to learn from and network colleagues, utility experts, and local and national policymakers</w:t>
      </w:r>
      <w:r w:rsidR="00AD29A4">
        <w:rPr>
          <w:rFonts w:ascii="Arial" w:hAnsi="Arial" w:cs="Arial"/>
          <w:sz w:val="24"/>
        </w:rPr>
        <w:t xml:space="preserve"> </w:t>
      </w:r>
      <w:sdt>
        <w:sdtPr>
          <w:rPr>
            <w:rFonts w:ascii="Arial" w:hAnsi="Arial" w:cs="Arial"/>
            <w:sz w:val="24"/>
          </w:rPr>
          <w:id w:val="72548284"/>
          <w:citation/>
        </w:sdtPr>
        <w:sdtEndPr/>
        <w:sdtContent>
          <w:r w:rsidR="00AD29A4">
            <w:rPr>
              <w:rFonts w:ascii="Arial" w:hAnsi="Arial" w:cs="Arial"/>
              <w:sz w:val="24"/>
            </w:rPr>
            <w:fldChar w:fldCharType="begin"/>
          </w:r>
          <w:r w:rsidR="00AD29A4">
            <w:rPr>
              <w:rFonts w:ascii="Arial" w:hAnsi="Arial" w:cs="Arial"/>
              <w:sz w:val="24"/>
            </w:rPr>
            <w:instrText xml:space="preserve"> CITATION Unk121 \l 1033 </w:instrText>
          </w:r>
          <w:r w:rsidR="00AD29A4">
            <w:rPr>
              <w:rFonts w:ascii="Arial" w:hAnsi="Arial" w:cs="Arial"/>
              <w:sz w:val="24"/>
            </w:rPr>
            <w:fldChar w:fldCharType="separate"/>
          </w:r>
          <w:r w:rsidR="00AD29A4" w:rsidRPr="00AD29A4">
            <w:rPr>
              <w:rFonts w:ascii="Arial" w:hAnsi="Arial" w:cs="Arial"/>
              <w:noProof/>
              <w:sz w:val="24"/>
            </w:rPr>
            <w:t>(Unkown, 2012)</w:t>
          </w:r>
          <w:r w:rsidR="00AD29A4">
            <w:rPr>
              <w:rFonts w:ascii="Arial" w:hAnsi="Arial" w:cs="Arial"/>
              <w:sz w:val="24"/>
            </w:rPr>
            <w:fldChar w:fldCharType="end"/>
          </w:r>
        </w:sdtContent>
      </w:sdt>
      <w:r w:rsidR="0081269C">
        <w:rPr>
          <w:rFonts w:ascii="Arial" w:hAnsi="Arial" w:cs="Arial"/>
          <w:sz w:val="24"/>
        </w:rPr>
        <w:t>. The annual National Conference is the largest public power meeting. Other annual meetings cover business and financial, engineering, and operations, legal, community broadband, and customer and community services topics.</w:t>
      </w:r>
      <w:r w:rsidR="00B24C9C">
        <w:rPr>
          <w:rFonts w:ascii="Arial" w:hAnsi="Arial" w:cs="Arial"/>
          <w:sz w:val="24"/>
        </w:rPr>
        <w:t xml:space="preserve"> APPA also conducts smaller professional-developmental courses and provides a variety of continuing education and consumer-oriented materials</w:t>
      </w:r>
      <w:r w:rsidR="00AD29A4">
        <w:rPr>
          <w:rFonts w:ascii="Arial" w:hAnsi="Arial" w:cs="Arial"/>
          <w:sz w:val="24"/>
        </w:rPr>
        <w:t xml:space="preserve"> </w:t>
      </w:r>
      <w:sdt>
        <w:sdtPr>
          <w:rPr>
            <w:rFonts w:ascii="Arial" w:hAnsi="Arial" w:cs="Arial"/>
            <w:sz w:val="24"/>
          </w:rPr>
          <w:id w:val="72548283"/>
          <w:citation/>
        </w:sdtPr>
        <w:sdtEndPr/>
        <w:sdtContent>
          <w:r w:rsidR="00AD29A4">
            <w:rPr>
              <w:rFonts w:ascii="Arial" w:hAnsi="Arial" w:cs="Arial"/>
              <w:sz w:val="24"/>
            </w:rPr>
            <w:fldChar w:fldCharType="begin"/>
          </w:r>
          <w:r w:rsidR="00AD29A4">
            <w:rPr>
              <w:rFonts w:ascii="Arial" w:hAnsi="Arial" w:cs="Arial"/>
              <w:sz w:val="24"/>
            </w:rPr>
            <w:instrText xml:space="preserve"> CITATION Unk121 \l 1033 </w:instrText>
          </w:r>
          <w:r w:rsidR="00AD29A4">
            <w:rPr>
              <w:rFonts w:ascii="Arial" w:hAnsi="Arial" w:cs="Arial"/>
              <w:sz w:val="24"/>
            </w:rPr>
            <w:fldChar w:fldCharType="separate"/>
          </w:r>
          <w:r w:rsidR="00AD29A4" w:rsidRPr="00AD29A4">
            <w:rPr>
              <w:rFonts w:ascii="Arial" w:hAnsi="Arial" w:cs="Arial"/>
              <w:noProof/>
              <w:sz w:val="24"/>
            </w:rPr>
            <w:t>(Unkown, 2012)</w:t>
          </w:r>
          <w:r w:rsidR="00AD29A4">
            <w:rPr>
              <w:rFonts w:ascii="Arial" w:hAnsi="Arial" w:cs="Arial"/>
              <w:sz w:val="24"/>
            </w:rPr>
            <w:fldChar w:fldCharType="end"/>
          </w:r>
        </w:sdtContent>
      </w:sdt>
      <w:r w:rsidR="00B24C9C">
        <w:rPr>
          <w:rFonts w:ascii="Arial" w:hAnsi="Arial" w:cs="Arial"/>
          <w:sz w:val="24"/>
        </w:rPr>
        <w:t>.</w:t>
      </w:r>
    </w:p>
    <w:p w:rsidR="00C42F2B" w:rsidRDefault="003650EF" w:rsidP="006A4051">
      <w:pPr>
        <w:spacing w:after="0" w:line="480" w:lineRule="auto"/>
        <w:ind w:left="1440" w:right="1440" w:firstLine="720"/>
        <w:rPr>
          <w:rFonts w:ascii="Arial" w:hAnsi="Arial" w:cs="Arial"/>
          <w:color w:val="000000"/>
          <w:sz w:val="24"/>
        </w:rPr>
      </w:pPr>
      <w:r w:rsidRPr="003650EF">
        <w:rPr>
          <w:rFonts w:ascii="Arial" w:hAnsi="Arial" w:cs="Arial"/>
          <w:color w:val="000000"/>
          <w:sz w:val="24"/>
        </w:rPr>
        <w:t xml:space="preserve">Politics is all about deciding who gets what, when and how. Organization provides a means to greater power in deciding these questions. Social interest groups, who include civil rights organizations, labor movements, religious organizations, environmental groups, and others, serve important roles in the political process. By organizing the interests of people they represent, interest groups provide a </w:t>
      </w:r>
      <w:r w:rsidRPr="003650EF">
        <w:rPr>
          <w:rFonts w:ascii="Arial" w:hAnsi="Arial" w:cs="Arial"/>
          <w:color w:val="000000"/>
          <w:sz w:val="24"/>
        </w:rPr>
        <w:lastRenderedPageBreak/>
        <w:t>voice for underrepresented segments of society and provide a check on majority rule</w:t>
      </w:r>
      <w:r w:rsidR="006A4051">
        <w:rPr>
          <w:rFonts w:ascii="Arial" w:hAnsi="Arial" w:cs="Arial"/>
          <w:color w:val="000000"/>
          <w:sz w:val="24"/>
        </w:rPr>
        <w:t xml:space="preserve"> </w:t>
      </w:r>
      <w:sdt>
        <w:sdtPr>
          <w:rPr>
            <w:rFonts w:ascii="Arial" w:hAnsi="Arial" w:cs="Arial"/>
            <w:color w:val="000000"/>
            <w:sz w:val="24"/>
          </w:rPr>
          <w:id w:val="72548289"/>
          <w:citation/>
        </w:sdtPr>
        <w:sdtEndPr/>
        <w:sdtContent>
          <w:r w:rsidR="006A4051">
            <w:rPr>
              <w:rFonts w:ascii="Arial" w:hAnsi="Arial" w:cs="Arial"/>
              <w:color w:val="000000"/>
              <w:sz w:val="24"/>
            </w:rPr>
            <w:fldChar w:fldCharType="begin"/>
          </w:r>
          <w:r w:rsidR="006A4051">
            <w:rPr>
              <w:rFonts w:ascii="Arial" w:hAnsi="Arial" w:cs="Arial"/>
              <w:color w:val="000000"/>
              <w:sz w:val="24"/>
            </w:rPr>
            <w:instrText xml:space="preserve"> CITATION Hal12 \l 1033 </w:instrText>
          </w:r>
          <w:r w:rsidR="006A4051">
            <w:rPr>
              <w:rFonts w:ascii="Arial" w:hAnsi="Arial" w:cs="Arial"/>
              <w:color w:val="000000"/>
              <w:sz w:val="24"/>
            </w:rPr>
            <w:fldChar w:fldCharType="separate"/>
          </w:r>
          <w:r w:rsidR="006A4051" w:rsidRPr="006A4051">
            <w:rPr>
              <w:rFonts w:ascii="Arial" w:hAnsi="Arial" w:cs="Arial"/>
              <w:noProof/>
              <w:color w:val="000000"/>
              <w:sz w:val="24"/>
            </w:rPr>
            <w:t>(Hall, 1999-2012)</w:t>
          </w:r>
          <w:r w:rsidR="006A4051">
            <w:rPr>
              <w:rFonts w:ascii="Arial" w:hAnsi="Arial" w:cs="Arial"/>
              <w:color w:val="000000"/>
              <w:sz w:val="24"/>
            </w:rPr>
            <w:fldChar w:fldCharType="end"/>
          </w:r>
        </w:sdtContent>
      </w:sdt>
      <w:r w:rsidRPr="003650EF">
        <w:rPr>
          <w:rFonts w:ascii="Arial" w:hAnsi="Arial" w:cs="Arial"/>
          <w:color w:val="000000"/>
          <w:sz w:val="24"/>
        </w:rPr>
        <w:t>.</w:t>
      </w:r>
      <w:r w:rsidR="00815C42">
        <w:rPr>
          <w:rFonts w:ascii="Arial" w:hAnsi="Arial" w:cs="Arial"/>
          <w:color w:val="000000"/>
          <w:sz w:val="24"/>
        </w:rPr>
        <w:t xml:space="preserve"> The</w:t>
      </w:r>
      <w:r w:rsidR="00815C42">
        <w:rPr>
          <w:rFonts w:ascii="Arial" w:hAnsi="Arial" w:cs="Arial"/>
          <w:color w:val="000000"/>
        </w:rPr>
        <w:t xml:space="preserve"> </w:t>
      </w:r>
      <w:r w:rsidR="00815C42" w:rsidRPr="00815C42">
        <w:rPr>
          <w:rFonts w:ascii="Arial" w:hAnsi="Arial" w:cs="Arial"/>
          <w:color w:val="000000"/>
          <w:sz w:val="24"/>
        </w:rPr>
        <w:t>American political system includes principles of democracy, including majority rule, but also includes protection of the rights of those who are not in the majority. Social interest groups, such as those based on ethnic, gender or religious identities, provide an important check on the powers of majorities by giving voice to these and other int</w:t>
      </w:r>
      <w:r w:rsidR="00815C42">
        <w:rPr>
          <w:rFonts w:ascii="Arial" w:hAnsi="Arial" w:cs="Arial"/>
          <w:color w:val="000000"/>
          <w:sz w:val="24"/>
        </w:rPr>
        <w:t xml:space="preserve">erests, who may be historically </w:t>
      </w:r>
      <w:r w:rsidR="00815C42" w:rsidRPr="00815C42">
        <w:rPr>
          <w:rFonts w:ascii="Arial" w:hAnsi="Arial" w:cs="Arial"/>
          <w:color w:val="000000"/>
          <w:sz w:val="24"/>
        </w:rPr>
        <w:t>underrepresented or disenfranchised</w:t>
      </w:r>
      <w:r w:rsidR="006A4051">
        <w:rPr>
          <w:rFonts w:ascii="Arial" w:hAnsi="Arial" w:cs="Arial"/>
          <w:color w:val="000000"/>
          <w:sz w:val="24"/>
        </w:rPr>
        <w:t xml:space="preserve"> </w:t>
      </w:r>
      <w:sdt>
        <w:sdtPr>
          <w:rPr>
            <w:rFonts w:ascii="Arial" w:hAnsi="Arial" w:cs="Arial"/>
            <w:color w:val="000000"/>
            <w:sz w:val="24"/>
          </w:rPr>
          <w:id w:val="72548290"/>
          <w:citation/>
        </w:sdtPr>
        <w:sdtEndPr/>
        <w:sdtContent>
          <w:r w:rsidR="006A4051">
            <w:rPr>
              <w:rFonts w:ascii="Arial" w:hAnsi="Arial" w:cs="Arial"/>
              <w:color w:val="000000"/>
              <w:sz w:val="24"/>
            </w:rPr>
            <w:fldChar w:fldCharType="begin"/>
          </w:r>
          <w:r w:rsidR="006A4051">
            <w:rPr>
              <w:rFonts w:ascii="Arial" w:hAnsi="Arial" w:cs="Arial"/>
              <w:color w:val="000000"/>
              <w:sz w:val="24"/>
            </w:rPr>
            <w:instrText xml:space="preserve"> CITATION Hal12 \l 1033 </w:instrText>
          </w:r>
          <w:r w:rsidR="006A4051">
            <w:rPr>
              <w:rFonts w:ascii="Arial" w:hAnsi="Arial" w:cs="Arial"/>
              <w:color w:val="000000"/>
              <w:sz w:val="24"/>
            </w:rPr>
            <w:fldChar w:fldCharType="separate"/>
          </w:r>
          <w:r w:rsidR="006A4051" w:rsidRPr="006A4051">
            <w:rPr>
              <w:rFonts w:ascii="Arial" w:hAnsi="Arial" w:cs="Arial"/>
              <w:noProof/>
              <w:color w:val="000000"/>
              <w:sz w:val="24"/>
            </w:rPr>
            <w:t>(Hall, 1999-2012)</w:t>
          </w:r>
          <w:r w:rsidR="006A4051">
            <w:rPr>
              <w:rFonts w:ascii="Arial" w:hAnsi="Arial" w:cs="Arial"/>
              <w:color w:val="000000"/>
              <w:sz w:val="24"/>
            </w:rPr>
            <w:fldChar w:fldCharType="end"/>
          </w:r>
        </w:sdtContent>
      </w:sdt>
      <w:r w:rsidR="00815C42" w:rsidRPr="00815C42">
        <w:rPr>
          <w:rFonts w:ascii="Arial" w:hAnsi="Arial" w:cs="Arial"/>
          <w:color w:val="000000"/>
          <w:sz w:val="24"/>
        </w:rPr>
        <w:t>.</w:t>
      </w:r>
      <w:r w:rsidR="00815C42">
        <w:rPr>
          <w:rFonts w:ascii="Arial" w:hAnsi="Arial" w:cs="Arial"/>
          <w:color w:val="000000"/>
          <w:sz w:val="24"/>
        </w:rPr>
        <w:t xml:space="preserve"> </w:t>
      </w:r>
      <w:r w:rsidR="00815C42" w:rsidRPr="00815C42">
        <w:rPr>
          <w:rFonts w:ascii="Arial" w:hAnsi="Arial" w:cs="Arial"/>
          <w:color w:val="000000"/>
          <w:sz w:val="24"/>
        </w:rPr>
        <w:t>Social interest groups, including civil rights organizations such as the National Association for the Advancement of Colored People (NAACP) and women's rights groups such as the National Organization for Women (NOW), provide an avenue for political action and involvement for many people</w:t>
      </w:r>
      <w:r w:rsidR="006A4051">
        <w:rPr>
          <w:rFonts w:ascii="Arial" w:hAnsi="Arial" w:cs="Arial"/>
          <w:color w:val="000000"/>
          <w:sz w:val="24"/>
        </w:rPr>
        <w:t xml:space="preserve"> </w:t>
      </w:r>
      <w:sdt>
        <w:sdtPr>
          <w:rPr>
            <w:rFonts w:ascii="Arial" w:hAnsi="Arial" w:cs="Arial"/>
            <w:color w:val="000000"/>
            <w:sz w:val="24"/>
          </w:rPr>
          <w:id w:val="72548291"/>
          <w:citation/>
        </w:sdtPr>
        <w:sdtEndPr/>
        <w:sdtContent>
          <w:r w:rsidR="006A4051">
            <w:rPr>
              <w:rFonts w:ascii="Arial" w:hAnsi="Arial" w:cs="Arial"/>
              <w:color w:val="000000"/>
              <w:sz w:val="24"/>
            </w:rPr>
            <w:fldChar w:fldCharType="begin"/>
          </w:r>
          <w:r w:rsidR="006A4051">
            <w:rPr>
              <w:rFonts w:ascii="Arial" w:hAnsi="Arial" w:cs="Arial"/>
              <w:color w:val="000000"/>
              <w:sz w:val="24"/>
            </w:rPr>
            <w:instrText xml:space="preserve"> CITATION Hal12 \l 1033 </w:instrText>
          </w:r>
          <w:r w:rsidR="006A4051">
            <w:rPr>
              <w:rFonts w:ascii="Arial" w:hAnsi="Arial" w:cs="Arial"/>
              <w:color w:val="000000"/>
              <w:sz w:val="24"/>
            </w:rPr>
            <w:fldChar w:fldCharType="separate"/>
          </w:r>
          <w:r w:rsidR="006A4051" w:rsidRPr="006A4051">
            <w:rPr>
              <w:rFonts w:ascii="Arial" w:hAnsi="Arial" w:cs="Arial"/>
              <w:noProof/>
              <w:color w:val="000000"/>
              <w:sz w:val="24"/>
            </w:rPr>
            <w:t>(Hall, 1999-2012)</w:t>
          </w:r>
          <w:r w:rsidR="006A4051">
            <w:rPr>
              <w:rFonts w:ascii="Arial" w:hAnsi="Arial" w:cs="Arial"/>
              <w:color w:val="000000"/>
              <w:sz w:val="24"/>
            </w:rPr>
            <w:fldChar w:fldCharType="end"/>
          </w:r>
        </w:sdtContent>
      </w:sdt>
      <w:r w:rsidR="00815C42" w:rsidRPr="00815C42">
        <w:rPr>
          <w:rFonts w:ascii="Arial" w:hAnsi="Arial" w:cs="Arial"/>
          <w:color w:val="000000"/>
          <w:sz w:val="24"/>
        </w:rPr>
        <w:t>. These groups provide information to their members, keeping them up-to-date on political issues that affect them. Involvement in a social interest group often sparks greater political involvement, resulting in a more informed and active citizenry</w:t>
      </w:r>
      <w:r w:rsidR="006A4051">
        <w:rPr>
          <w:rFonts w:ascii="Arial" w:hAnsi="Arial" w:cs="Arial"/>
          <w:color w:val="000000"/>
          <w:sz w:val="24"/>
        </w:rPr>
        <w:t xml:space="preserve"> </w:t>
      </w:r>
      <w:sdt>
        <w:sdtPr>
          <w:rPr>
            <w:rFonts w:ascii="Arial" w:hAnsi="Arial" w:cs="Arial"/>
            <w:color w:val="000000"/>
            <w:sz w:val="24"/>
          </w:rPr>
          <w:id w:val="72548292"/>
          <w:citation/>
        </w:sdtPr>
        <w:sdtEndPr/>
        <w:sdtContent>
          <w:r w:rsidR="006A4051">
            <w:rPr>
              <w:rFonts w:ascii="Arial" w:hAnsi="Arial" w:cs="Arial"/>
              <w:color w:val="000000"/>
              <w:sz w:val="24"/>
            </w:rPr>
            <w:fldChar w:fldCharType="begin"/>
          </w:r>
          <w:r w:rsidR="006A4051">
            <w:rPr>
              <w:rFonts w:ascii="Arial" w:hAnsi="Arial" w:cs="Arial"/>
              <w:color w:val="000000"/>
              <w:sz w:val="24"/>
            </w:rPr>
            <w:instrText xml:space="preserve"> CITATION Hal12 \l 1033 </w:instrText>
          </w:r>
          <w:r w:rsidR="006A4051">
            <w:rPr>
              <w:rFonts w:ascii="Arial" w:hAnsi="Arial" w:cs="Arial"/>
              <w:color w:val="000000"/>
              <w:sz w:val="24"/>
            </w:rPr>
            <w:fldChar w:fldCharType="separate"/>
          </w:r>
          <w:r w:rsidR="006A4051" w:rsidRPr="006A4051">
            <w:rPr>
              <w:rFonts w:ascii="Arial" w:hAnsi="Arial" w:cs="Arial"/>
              <w:noProof/>
              <w:color w:val="000000"/>
              <w:sz w:val="24"/>
            </w:rPr>
            <w:t>(Hall, 1999-2012)</w:t>
          </w:r>
          <w:r w:rsidR="006A4051">
            <w:rPr>
              <w:rFonts w:ascii="Arial" w:hAnsi="Arial" w:cs="Arial"/>
              <w:color w:val="000000"/>
              <w:sz w:val="24"/>
            </w:rPr>
            <w:fldChar w:fldCharType="end"/>
          </w:r>
        </w:sdtContent>
      </w:sdt>
      <w:r w:rsidR="00815C42" w:rsidRPr="00815C42">
        <w:rPr>
          <w:rFonts w:ascii="Arial" w:hAnsi="Arial" w:cs="Arial"/>
          <w:color w:val="000000"/>
          <w:sz w:val="24"/>
        </w:rPr>
        <w:t>.</w:t>
      </w:r>
    </w:p>
    <w:sdt>
      <w:sdtPr>
        <w:rPr>
          <w:rFonts w:asciiTheme="minorHAnsi" w:eastAsiaTheme="minorHAnsi" w:hAnsiTheme="minorHAnsi" w:cstheme="minorBidi"/>
          <w:b w:val="0"/>
          <w:bCs w:val="0"/>
          <w:color w:val="auto"/>
          <w:sz w:val="22"/>
          <w:szCs w:val="22"/>
          <w:lang w:bidi="ar-SA"/>
        </w:rPr>
        <w:id w:val="72548293"/>
        <w:docPartObj>
          <w:docPartGallery w:val="Bibliographies"/>
          <w:docPartUnique/>
        </w:docPartObj>
      </w:sdtPr>
      <w:sdtEndPr>
        <w:rPr>
          <w:rFonts w:eastAsiaTheme="minorEastAsia"/>
        </w:rPr>
      </w:sdtEndPr>
      <w:sdtContent>
        <w:p w:rsidR="006A4051" w:rsidRDefault="006A4051">
          <w:pPr>
            <w:pStyle w:val="Heading1"/>
          </w:pPr>
          <w:r>
            <w:t>Works Cited</w:t>
          </w:r>
        </w:p>
        <w:p w:rsidR="006A4051" w:rsidRDefault="006A4051" w:rsidP="006A4051">
          <w:pPr>
            <w:pStyle w:val="Bibliography"/>
            <w:rPr>
              <w:noProof/>
            </w:rPr>
          </w:pPr>
          <w:r>
            <w:fldChar w:fldCharType="begin"/>
          </w:r>
          <w:r>
            <w:instrText xml:space="preserve"> BIBLIOGRAPHY </w:instrText>
          </w:r>
          <w:r>
            <w:fldChar w:fldCharType="separate"/>
          </w:r>
          <w:r>
            <w:rPr>
              <w:noProof/>
            </w:rPr>
            <w:t xml:space="preserve">Hall, S. (1999-2012). </w:t>
          </w:r>
          <w:r>
            <w:rPr>
              <w:i/>
              <w:iCs/>
              <w:noProof/>
            </w:rPr>
            <w:t>What are the benefits of Social Interest Groups</w:t>
          </w:r>
          <w:r>
            <w:rPr>
              <w:noProof/>
            </w:rPr>
            <w:t>. Retrieved April 23, 2012, from ehow: www.ehow.com/whatarethebenefitsofsocialinterestgroups</w:t>
          </w:r>
        </w:p>
        <w:p w:rsidR="006A4051" w:rsidRDefault="006A4051" w:rsidP="006A4051">
          <w:pPr>
            <w:pStyle w:val="Bibliography"/>
            <w:rPr>
              <w:noProof/>
            </w:rPr>
          </w:pPr>
          <w:r>
            <w:rPr>
              <w:noProof/>
            </w:rPr>
            <w:lastRenderedPageBreak/>
            <w:t xml:space="preserve">Unkown. (2012, January 19). </w:t>
          </w:r>
          <w:r>
            <w:rPr>
              <w:i/>
              <w:iCs/>
              <w:noProof/>
            </w:rPr>
            <w:t>Public Power Association</w:t>
          </w:r>
          <w:r>
            <w:rPr>
              <w:noProof/>
            </w:rPr>
            <w:t>. Retrieved April 23, 2012, from Wikipedia: www.wikipedia.org/American Pubic Power Association</w:t>
          </w:r>
        </w:p>
        <w:p w:rsidR="006A4051" w:rsidRDefault="006A4051" w:rsidP="006A4051">
          <w:r>
            <w:fldChar w:fldCharType="end"/>
          </w:r>
        </w:p>
      </w:sdtContent>
    </w:sdt>
    <w:p w:rsidR="006A4051" w:rsidRDefault="006A4051" w:rsidP="00B87702">
      <w:pPr>
        <w:spacing w:after="0" w:line="480" w:lineRule="auto"/>
        <w:ind w:left="1440" w:right="1440"/>
        <w:rPr>
          <w:rFonts w:ascii="Arial" w:hAnsi="Arial" w:cs="Arial"/>
          <w:color w:val="000000"/>
          <w:sz w:val="24"/>
        </w:rPr>
      </w:pPr>
    </w:p>
    <w:p w:rsidR="006A4051" w:rsidRPr="003650EF" w:rsidRDefault="006A4051" w:rsidP="00B87702">
      <w:pPr>
        <w:spacing w:after="0" w:line="480" w:lineRule="auto"/>
        <w:ind w:left="1440" w:right="1440"/>
        <w:rPr>
          <w:rFonts w:ascii="Arial" w:hAnsi="Arial" w:cs="Arial"/>
          <w:sz w:val="28"/>
        </w:rPr>
      </w:pPr>
    </w:p>
    <w:sectPr w:rsidR="006A4051" w:rsidRPr="003650EF" w:rsidSect="00E02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02"/>
    <w:rsid w:val="000F5A06"/>
    <w:rsid w:val="001D1EE1"/>
    <w:rsid w:val="00222C34"/>
    <w:rsid w:val="00230F89"/>
    <w:rsid w:val="003650EF"/>
    <w:rsid w:val="006A4051"/>
    <w:rsid w:val="007C0A7A"/>
    <w:rsid w:val="0081269C"/>
    <w:rsid w:val="00815C42"/>
    <w:rsid w:val="008964FC"/>
    <w:rsid w:val="00A05FCC"/>
    <w:rsid w:val="00AD29A4"/>
    <w:rsid w:val="00B24C9C"/>
    <w:rsid w:val="00B87702"/>
    <w:rsid w:val="00C42F2B"/>
    <w:rsid w:val="00D108A5"/>
    <w:rsid w:val="00E02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29A4"/>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9A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AD29A4"/>
  </w:style>
  <w:style w:type="character" w:styleId="Hyperlink">
    <w:name w:val="Hyperlink"/>
    <w:basedOn w:val="DefaultParagraphFont"/>
    <w:uiPriority w:val="99"/>
    <w:semiHidden/>
    <w:unhideWhenUsed/>
    <w:rsid w:val="003650EF"/>
    <w:rPr>
      <w:strike w:val="0"/>
      <w:dstrike w:val="0"/>
      <w:color w:val="0000FF"/>
      <w:u w:val="none"/>
      <w:effect w:val="none"/>
    </w:rPr>
  </w:style>
  <w:style w:type="paragraph" w:styleId="BalloonText">
    <w:name w:val="Balloon Text"/>
    <w:basedOn w:val="Normal"/>
    <w:link w:val="BalloonTextChar"/>
    <w:uiPriority w:val="99"/>
    <w:semiHidden/>
    <w:unhideWhenUsed/>
    <w:rsid w:val="00222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C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29A4"/>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9A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AD29A4"/>
  </w:style>
  <w:style w:type="character" w:styleId="Hyperlink">
    <w:name w:val="Hyperlink"/>
    <w:basedOn w:val="DefaultParagraphFont"/>
    <w:uiPriority w:val="99"/>
    <w:semiHidden/>
    <w:unhideWhenUsed/>
    <w:rsid w:val="003650EF"/>
    <w:rPr>
      <w:strike w:val="0"/>
      <w:dstrike w:val="0"/>
      <w:color w:val="0000FF"/>
      <w:u w:val="none"/>
      <w:effect w:val="none"/>
    </w:rPr>
  </w:style>
  <w:style w:type="paragraph" w:styleId="BalloonText">
    <w:name w:val="Balloon Text"/>
    <w:basedOn w:val="Normal"/>
    <w:link w:val="BalloonTextChar"/>
    <w:uiPriority w:val="99"/>
    <w:semiHidden/>
    <w:unhideWhenUsed/>
    <w:rsid w:val="00222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C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Unk121</b:Tag>
    <b:SourceType>InternetSite</b:SourceType>
    <b:Guid>{4D0E7A5C-492C-48A3-A96E-B9449B80A688}</b:Guid>
    <b:Author>
      <b:Author>
        <b:NameList>
          <b:Person>
            <b:Last>Unkown</b:Last>
          </b:Person>
        </b:NameList>
      </b:Author>
    </b:Author>
    <b:Title>Public Power Association</b:Title>
    <b:InternetSiteTitle>Wikipedia</b:InternetSiteTitle>
    <b:Year>2012</b:Year>
    <b:Month>January</b:Month>
    <b:Day>19</b:Day>
    <b:YearAccessed>2012</b:YearAccessed>
    <b:MonthAccessed>April</b:MonthAccessed>
    <b:DayAccessed>23</b:DayAccessed>
    <b:URL>www.wikipedia.org/American Pubic Power Association</b:URL>
    <b:RefOrder>1</b:RefOrder>
  </b:Source>
  <b:Source>
    <b:Tag>Hal12</b:Tag>
    <b:SourceType>InternetSite</b:SourceType>
    <b:Guid>{98DCCAE4-65E6-40E3-9823-B7A0CD7F970E}</b:Guid>
    <b:Author>
      <b:Author>
        <b:NameList>
          <b:Person>
            <b:Last>Hall</b:Last>
            <b:First>Shane</b:First>
          </b:Person>
        </b:NameList>
      </b:Author>
    </b:Author>
    <b:Title>What are the benefits of Social Interest Groups</b:Title>
    <b:InternetSiteTitle>ehow</b:InternetSiteTitle>
    <b:Year>1999-2012</b:Year>
    <b:YearAccessed>2012</b:YearAccessed>
    <b:MonthAccessed>April</b:MonthAccessed>
    <b:DayAccessed>23</b:DayAccessed>
    <b:URL>www.ehow.com/whatarethebenefitsofsocialinterestgroups</b:URL>
    <b:RefOrder>2</b:RefOrder>
  </b:Source>
</b:Sources>
</file>

<file path=customXml/itemProps1.xml><?xml version="1.0" encoding="utf-8"?>
<ds:datastoreItem xmlns:ds="http://schemas.openxmlformats.org/officeDocument/2006/customXml" ds:itemID="{035FA022-A76C-4E31-B36F-8A53F95C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AF</cp:lastModifiedBy>
  <cp:revision>2</cp:revision>
  <dcterms:created xsi:type="dcterms:W3CDTF">2012-04-24T01:52:00Z</dcterms:created>
  <dcterms:modified xsi:type="dcterms:W3CDTF">2012-04-24T01:52:00Z</dcterms:modified>
</cp:coreProperties>
</file>